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after="0" w:line="480" w:lineRule="auto"/>
        <w:jc w:val="both"/>
      </w:pPr>
      <w:r>
        <w:rPr>
          <w:rFonts w:ascii="Times New Roman" w:hAnsi="Times New Roman"/>
          <w:sz w:val="24"/>
          <w:szCs w:val="24"/>
          <w:rtl w:val="0"/>
          <w:lang w:val="en-US"/>
        </w:rPr>
        <w:t>Name:</w:t>
      </w:r>
    </w:p>
    <w:p>
      <w:pPr>
        <w:pStyle w:val="Normal.0"/>
        <w:spacing w:after="0" w:line="480" w:lineRule="auto"/>
        <w:jc w:val="both"/>
      </w:pPr>
      <w:r>
        <w:rPr>
          <w:rFonts w:ascii="Times New Roman" w:hAnsi="Times New Roman"/>
          <w:sz w:val="24"/>
          <w:szCs w:val="24"/>
          <w:rtl w:val="0"/>
          <w:lang w:val="en-US"/>
        </w:rPr>
        <w:t>Instructor:</w:t>
      </w:r>
    </w:p>
    <w:p>
      <w:pPr>
        <w:pStyle w:val="Normal.0"/>
        <w:spacing w:after="0" w:line="480" w:lineRule="auto"/>
        <w:jc w:val="both"/>
      </w:pPr>
      <w:r>
        <w:rPr>
          <w:rFonts w:ascii="Times New Roman" w:hAnsi="Times New Roman"/>
          <w:sz w:val="24"/>
          <w:szCs w:val="24"/>
          <w:rtl w:val="0"/>
          <w:lang w:val="en-US"/>
        </w:rPr>
        <w:t>Course:</w:t>
      </w:r>
    </w:p>
    <w:p>
      <w:pPr>
        <w:pStyle w:val="Normal.0"/>
        <w:spacing w:after="0" w:line="480" w:lineRule="auto"/>
        <w:jc w:val="both"/>
      </w:pPr>
      <w:r>
        <w:rPr>
          <w:rFonts w:ascii="Times New Roman" w:hAnsi="Times New Roman"/>
          <w:sz w:val="24"/>
          <w:szCs w:val="24"/>
          <w:rtl w:val="0"/>
          <w:lang w:val="en-US"/>
        </w:rPr>
        <w:t>Date:</w:t>
      </w:r>
    </w:p>
    <w:p>
      <w:pPr>
        <w:pStyle w:val="Normal.0"/>
        <w:spacing w:after="0" w:line="480" w:lineRule="auto"/>
        <w:jc w:val="center"/>
      </w:pPr>
      <w:r>
        <w:rPr>
          <w:rFonts w:ascii="Times New Roman" w:hAnsi="Times New Roman"/>
          <w:outline w:val="0"/>
          <w:color w:val="000000"/>
          <w:spacing w:val="0"/>
          <w:kern w:val="1"/>
          <w:sz w:val="24"/>
          <w:szCs w:val="24"/>
          <w:u w:color="000000"/>
          <w:rtl w:val="0"/>
          <w:lang w:val="en-US"/>
        </w:rPr>
        <w:t>Diseases due to Abnormalities in Lysosomes, Peroxisomes and Mitochondria</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Times New Roman" w:cs="Times New Roman" w:hAnsi="Times New Roman" w:eastAsia="Times New Roman"/>
          <w:outline w:val="0"/>
          <w:color w:val="000000"/>
          <w:spacing w:val="0"/>
          <w:kern w:val="1"/>
          <w:sz w:val="24"/>
          <w:szCs w:val="24"/>
          <w:u w:val="none" w:color="000000"/>
        </w:rPr>
      </w:pPr>
      <w:r>
        <w:tab/>
      </w:r>
      <w:r>
        <w:rPr>
          <w:rFonts w:ascii="Times New Roman" w:hAnsi="Times New Roman"/>
          <w:outline w:val="0"/>
          <w:color w:val="000000"/>
          <w:spacing w:val="0"/>
          <w:kern w:val="1"/>
          <w:sz w:val="24"/>
          <w:szCs w:val="24"/>
          <w:u w:val="none" w:color="000000"/>
          <w:rtl w:val="0"/>
          <w:lang w:val="en-US"/>
        </w:rPr>
        <w:t>Lysosome storage diseases include several genetically inherited conditions that lead to metabolic abnormalities. These organelles that are found in virtually all animal cells are capable of metabolizing biomolecules of various types (Suzuki, Kunihiko and Marie T. Vanier). Lysosomes have more than 60 enzymes contained within them. A particular manifestation of lysosomes storage disorder depends on and classified by the abnormally accumulated materials. Gaucher</w:t>
      </w:r>
      <w:r>
        <w:rPr>
          <w:rFonts w:ascii="Times New Roman" w:hAnsi="Times New Roman" w:hint="default"/>
          <w:outline w:val="0"/>
          <w:color w:val="000000"/>
          <w:spacing w:val="0"/>
          <w:kern w:val="1"/>
          <w:sz w:val="24"/>
          <w:szCs w:val="24"/>
          <w:u w:val="none" w:color="000000"/>
          <w:rtl w:val="0"/>
          <w:lang w:val="en-US"/>
        </w:rPr>
        <w:t>’</w:t>
      </w:r>
      <w:r>
        <w:rPr>
          <w:rFonts w:ascii="Times New Roman" w:hAnsi="Times New Roman"/>
          <w:outline w:val="0"/>
          <w:color w:val="000000"/>
          <w:spacing w:val="0"/>
          <w:kern w:val="1"/>
          <w:sz w:val="24"/>
          <w:szCs w:val="24"/>
          <w:u w:val="none" w:color="000000"/>
          <w:rtl w:val="0"/>
          <w:lang w:val="en-US"/>
        </w:rPr>
        <w:t>s disease, for example, is caused by a mutation in the GBA gene that leads to abnormal functioning of a beta-glucocerebrosidase enzyme that dissolves glucocerebroside into sugar. In individuals with Gaucher</w:t>
      </w:r>
      <w:r>
        <w:rPr>
          <w:rFonts w:ascii="Times New Roman" w:hAnsi="Times New Roman" w:hint="default"/>
          <w:outline w:val="0"/>
          <w:color w:val="000000"/>
          <w:spacing w:val="0"/>
          <w:kern w:val="1"/>
          <w:sz w:val="24"/>
          <w:szCs w:val="24"/>
          <w:u w:val="none" w:color="000000"/>
          <w:rtl w:val="0"/>
          <w:lang w:val="en-US"/>
        </w:rPr>
        <w:t>’</w:t>
      </w:r>
      <w:r>
        <w:rPr>
          <w:rFonts w:ascii="Times New Roman" w:hAnsi="Times New Roman"/>
          <w:outline w:val="0"/>
          <w:color w:val="000000"/>
          <w:spacing w:val="0"/>
          <w:kern w:val="1"/>
          <w:sz w:val="24"/>
          <w:szCs w:val="24"/>
          <w:u w:val="none" w:color="000000"/>
          <w:rtl w:val="0"/>
          <w:lang w:val="en-US"/>
        </w:rPr>
        <w:t>s disease, the activity of the GBA gene is greatly reduced (Suzuki, Kunihiko and Marie T. Vanier). The lack of enzyme normally stored within lysosomes leads to a dangerous build-up of glucocerebroside to toxic levels. There are several types of Gaucher</w:t>
      </w:r>
      <w:r>
        <w:rPr>
          <w:rFonts w:ascii="Times New Roman" w:hAnsi="Times New Roman" w:hint="default"/>
          <w:outline w:val="0"/>
          <w:color w:val="000000"/>
          <w:spacing w:val="0"/>
          <w:kern w:val="1"/>
          <w:sz w:val="24"/>
          <w:szCs w:val="24"/>
          <w:u w:val="none" w:color="000000"/>
          <w:rtl w:val="0"/>
          <w:lang w:val="en-US"/>
        </w:rPr>
        <w:t>’</w:t>
      </w:r>
      <w:r>
        <w:rPr>
          <w:rFonts w:ascii="Times New Roman" w:hAnsi="Times New Roman"/>
          <w:outline w:val="0"/>
          <w:color w:val="000000"/>
          <w:spacing w:val="0"/>
          <w:kern w:val="1"/>
          <w:sz w:val="24"/>
          <w:szCs w:val="24"/>
          <w:u w:val="none" w:color="000000"/>
          <w:rtl w:val="0"/>
          <w:lang w:val="en-US"/>
        </w:rPr>
        <w:t xml:space="preserve">s disease distinguished by the severity and time of onset of the symptoms. </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Times New Roman" w:cs="Times New Roman" w:hAnsi="Times New Roman" w:eastAsia="Times New Roman"/>
          <w:outline w:val="0"/>
          <w:color w:val="000000"/>
          <w:spacing w:val="0"/>
          <w:kern w:val="1"/>
          <w:sz w:val="24"/>
          <w:szCs w:val="24"/>
          <w:u w:val="none" w:color="000000"/>
        </w:rPr>
      </w:pPr>
      <w:r>
        <w:rPr>
          <w:rFonts w:ascii="Times New Roman" w:cs="Times New Roman" w:hAnsi="Times New Roman" w:eastAsia="Times New Roman"/>
          <w:outline w:val="0"/>
          <w:color w:val="000000"/>
          <w:spacing w:val="0"/>
          <w:kern w:val="1"/>
          <w:sz w:val="24"/>
          <w:szCs w:val="24"/>
          <w:u w:val="none" w:color="000000"/>
        </w:rPr>
        <w:tab/>
      </w:r>
      <w:r>
        <w:rPr>
          <w:rFonts w:ascii="Times New Roman" w:hAnsi="Times New Roman"/>
          <w:outline w:val="0"/>
          <w:color w:val="000000"/>
          <w:spacing w:val="0"/>
          <w:kern w:val="1"/>
          <w:sz w:val="24"/>
          <w:szCs w:val="24"/>
          <w:u w:val="none" w:color="000000"/>
          <w:rtl w:val="0"/>
          <w:lang w:val="en-US"/>
        </w:rPr>
        <w:t>In the general population, Gaucher</w:t>
      </w:r>
      <w:r>
        <w:rPr>
          <w:rFonts w:ascii="Times New Roman" w:hAnsi="Times New Roman" w:hint="default"/>
          <w:outline w:val="0"/>
          <w:color w:val="000000"/>
          <w:spacing w:val="0"/>
          <w:kern w:val="1"/>
          <w:sz w:val="24"/>
          <w:szCs w:val="24"/>
          <w:u w:val="none" w:color="000000"/>
          <w:rtl w:val="0"/>
          <w:lang w:val="en-US"/>
        </w:rPr>
        <w:t>’</w:t>
      </w:r>
      <w:r>
        <w:rPr>
          <w:rFonts w:ascii="Times New Roman" w:hAnsi="Times New Roman"/>
          <w:outline w:val="0"/>
          <w:color w:val="000000"/>
          <w:spacing w:val="0"/>
          <w:kern w:val="1"/>
          <w:sz w:val="24"/>
          <w:szCs w:val="24"/>
          <w:u w:val="none" w:color="000000"/>
          <w:rtl w:val="0"/>
          <w:lang w:val="en-US"/>
        </w:rPr>
        <w:t xml:space="preserve">s disease occurs in 1 in 50,000 to 100,000 individuals. Type 1 of the disease is more common among Ashkenazi Jews with a frequency of occurrence being 1in 500 people than in the general population (Suzuki, Kunihiko and Marie T. Vanier). The disease is inherited following an autosomal recessive pattern. </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Times New Roman" w:cs="Times New Roman" w:hAnsi="Times New Roman" w:eastAsia="Times New Roman"/>
          <w:outline w:val="0"/>
          <w:color w:val="000000"/>
          <w:spacing w:val="0"/>
          <w:kern w:val="1"/>
          <w:sz w:val="24"/>
          <w:szCs w:val="24"/>
          <w:u w:val="none" w:color="000000"/>
        </w:rPr>
      </w:pPr>
      <w:r>
        <w:rPr>
          <w:rFonts w:ascii="Times New Roman" w:cs="Times New Roman" w:hAnsi="Times New Roman" w:eastAsia="Times New Roman"/>
          <w:outline w:val="0"/>
          <w:color w:val="000000"/>
          <w:spacing w:val="0"/>
          <w:kern w:val="1"/>
          <w:sz w:val="24"/>
          <w:szCs w:val="24"/>
          <w:u w:val="none" w:color="000000"/>
        </w:rPr>
        <w:tab/>
      </w:r>
      <w:r>
        <w:rPr>
          <w:rFonts w:ascii="Times New Roman" w:hAnsi="Times New Roman"/>
          <w:outline w:val="0"/>
          <w:color w:val="000000"/>
          <w:spacing w:val="0"/>
          <w:kern w:val="1"/>
          <w:sz w:val="24"/>
          <w:szCs w:val="24"/>
          <w:u w:val="none" w:color="000000"/>
          <w:rtl w:val="0"/>
          <w:lang w:val="en-US"/>
        </w:rPr>
        <w:t>Symptoms of Gaucher</w:t>
      </w:r>
      <w:r>
        <w:rPr>
          <w:rFonts w:ascii="Times New Roman" w:hAnsi="Times New Roman" w:hint="default"/>
          <w:outline w:val="0"/>
          <w:color w:val="000000"/>
          <w:spacing w:val="0"/>
          <w:kern w:val="1"/>
          <w:sz w:val="24"/>
          <w:szCs w:val="24"/>
          <w:u w:val="none" w:color="000000"/>
          <w:rtl w:val="0"/>
          <w:lang w:val="en-US"/>
        </w:rPr>
        <w:t>’</w:t>
      </w:r>
      <w:r>
        <w:rPr>
          <w:rFonts w:ascii="Times New Roman" w:hAnsi="Times New Roman"/>
          <w:outline w:val="0"/>
          <w:color w:val="000000"/>
          <w:spacing w:val="0"/>
          <w:kern w:val="1"/>
          <w:sz w:val="24"/>
          <w:szCs w:val="24"/>
          <w:u w:val="none" w:color="000000"/>
          <w:rtl w:val="0"/>
          <w:lang w:val="en-US"/>
        </w:rPr>
        <w:t>s disease vary depending on the type. For type 1 of the disease, easy bruising is common due to low levels of blood platelets; anaemia is also frequent. In type 2 symptoms begin to show after 3 months of age and include brain damage, spasticity, seizures, enlarged liver and spleen (Suzuki, Kunihiko and Marie T. Vanier). The third type is known as chronic neuropathic Gaucher</w:t>
      </w:r>
      <w:r>
        <w:rPr>
          <w:rFonts w:ascii="Times New Roman" w:hAnsi="Times New Roman" w:hint="default"/>
          <w:outline w:val="0"/>
          <w:color w:val="000000"/>
          <w:spacing w:val="0"/>
          <w:kern w:val="1"/>
          <w:sz w:val="24"/>
          <w:szCs w:val="24"/>
          <w:u w:val="none" w:color="000000"/>
          <w:rtl w:val="0"/>
          <w:lang w:val="en-US"/>
        </w:rPr>
        <w:t>’</w:t>
      </w:r>
      <w:r>
        <w:rPr>
          <w:rFonts w:ascii="Times New Roman" w:hAnsi="Times New Roman"/>
          <w:outline w:val="0"/>
          <w:color w:val="000000"/>
          <w:spacing w:val="0"/>
          <w:kern w:val="1"/>
          <w:sz w:val="24"/>
          <w:szCs w:val="24"/>
          <w:u w:val="none" w:color="000000"/>
          <w:rtl w:val="0"/>
          <w:lang w:val="en-US"/>
        </w:rPr>
        <w:t>s disease and characterized by the slow onset of symptoms related to brain involvement and skeletal abnormalities. For people with type 1 and type 3, Gaucher</w:t>
      </w:r>
      <w:r>
        <w:rPr>
          <w:rFonts w:ascii="Times New Roman" w:hAnsi="Times New Roman" w:hint="default"/>
          <w:outline w:val="0"/>
          <w:color w:val="000000"/>
          <w:spacing w:val="0"/>
          <w:kern w:val="1"/>
          <w:sz w:val="24"/>
          <w:szCs w:val="24"/>
          <w:u w:val="none" w:color="000000"/>
          <w:rtl w:val="0"/>
          <w:lang w:val="en-US"/>
        </w:rPr>
        <w:t>’</w:t>
      </w:r>
      <w:r>
        <w:rPr>
          <w:rFonts w:ascii="Times New Roman" w:hAnsi="Times New Roman"/>
          <w:outline w:val="0"/>
          <w:color w:val="000000"/>
          <w:spacing w:val="0"/>
          <w:kern w:val="1"/>
          <w:sz w:val="24"/>
          <w:szCs w:val="24"/>
          <w:u w:val="none" w:color="000000"/>
          <w:rtl w:val="0"/>
          <w:lang w:val="en-US"/>
        </w:rPr>
        <w:t xml:space="preserve">s disease enzyme replacement therapy has been proved as the main means of treatment. </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Times New Roman" w:cs="Times New Roman" w:hAnsi="Times New Roman" w:eastAsia="Times New Roman"/>
          <w:outline w:val="0"/>
          <w:color w:val="000000"/>
          <w:spacing w:val="0"/>
          <w:kern w:val="1"/>
          <w:sz w:val="24"/>
          <w:szCs w:val="24"/>
          <w:u w:val="none" w:color="000000"/>
        </w:rPr>
      </w:pPr>
      <w:r>
        <w:rPr>
          <w:rFonts w:ascii="Times New Roman" w:cs="Times New Roman" w:hAnsi="Times New Roman" w:eastAsia="Times New Roman"/>
          <w:outline w:val="0"/>
          <w:color w:val="000000"/>
          <w:spacing w:val="0"/>
          <w:kern w:val="1"/>
          <w:sz w:val="24"/>
          <w:szCs w:val="24"/>
          <w:u w:val="none" w:color="000000"/>
        </w:rPr>
        <w:tab/>
      </w:r>
      <w:r>
        <w:rPr>
          <w:rFonts w:ascii="Times New Roman" w:hAnsi="Times New Roman"/>
          <w:outline w:val="0"/>
          <w:color w:val="000000"/>
          <w:spacing w:val="0"/>
          <w:kern w:val="1"/>
          <w:sz w:val="24"/>
          <w:szCs w:val="24"/>
          <w:u w:val="none" w:color="000000"/>
          <w:rtl w:val="0"/>
          <w:lang w:val="en-US"/>
        </w:rPr>
        <w:t xml:space="preserve">Peroxisomes are subcellular organelles that contain enzymes crucial for metabolic processes. These organelles are rather flexible and can be assembled rapidly reacting to metabolic needs. Peroxisomes are involved in metabolizing of fatty acids, clearing of glyoxylate, and catabolism of purines. Within the organelles, there are approximately 50 enzymes which are essential for proper metabolic functions (Delille, Hannah K., et al.). There are several peroxisomes disorders including Zellweger spectrum disorder. The Zellweger spectrum disorder includes several conditions with overlapping symptoms and signs that in the past were considered to represent non-related conditions. Infants with Zellweger syndrome are severely impaired in most cases making no developmental progress. </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Times New Roman" w:cs="Times New Roman" w:hAnsi="Times New Roman" w:eastAsia="Times New Roman"/>
          <w:outline w:val="0"/>
          <w:color w:val="000000"/>
          <w:spacing w:val="0"/>
          <w:kern w:val="1"/>
          <w:sz w:val="24"/>
          <w:szCs w:val="24"/>
          <w:u w:val="none" w:color="000000"/>
        </w:rPr>
      </w:pPr>
      <w:r>
        <w:rPr>
          <w:rFonts w:ascii="Times New Roman" w:cs="Times New Roman" w:hAnsi="Times New Roman" w:eastAsia="Times New Roman"/>
          <w:outline w:val="0"/>
          <w:color w:val="000000"/>
          <w:spacing w:val="0"/>
          <w:kern w:val="1"/>
          <w:sz w:val="24"/>
          <w:szCs w:val="24"/>
          <w:u w:val="none" w:color="000000"/>
        </w:rPr>
        <w:tab/>
      </w:r>
      <w:r>
        <w:rPr>
          <w:rFonts w:ascii="Times New Roman" w:hAnsi="Times New Roman"/>
          <w:outline w:val="0"/>
          <w:color w:val="000000"/>
          <w:spacing w:val="0"/>
          <w:kern w:val="1"/>
          <w:sz w:val="24"/>
          <w:szCs w:val="24"/>
          <w:u w:val="none" w:color="000000"/>
          <w:rtl w:val="0"/>
          <w:lang w:val="en-US"/>
        </w:rPr>
        <w:t>The syndrome is caused by a mutation in 12 genes all responsible for providing instructions for making peroxin proteins which are essential for proper peroxisome functioning (Delille, Hannah K., et al.). These mutations prevent organelles in question from forming and functioning normally (Steinberg, Steven, et al.). Because mutations in genes affect the formation of peroxisomes, the syndrome is characterized as peroxisome biogenesis disorder. Estimates indicate that Zellweger spectrum disorder affects 1 in 50,000 people ("Zellweger Spectrum Disorder"). The condition affecting peroxisomes is inherited if both copies of a gene have a mutation. Thus, the condition has an autosomal recessive pattern of inheritance.</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Times New Roman" w:cs="Times New Roman" w:hAnsi="Times New Roman" w:eastAsia="Times New Roman"/>
          <w:outline w:val="0"/>
          <w:color w:val="000000"/>
          <w:spacing w:val="0"/>
          <w:kern w:val="1"/>
          <w:sz w:val="24"/>
          <w:szCs w:val="24"/>
          <w:u w:val="none" w:color="000000"/>
        </w:rPr>
      </w:pPr>
      <w:r>
        <w:rPr>
          <w:rFonts w:ascii="Times New Roman" w:hAnsi="Times New Roman"/>
          <w:outline w:val="0"/>
          <w:color w:val="000000"/>
          <w:spacing w:val="0"/>
          <w:kern w:val="1"/>
          <w:sz w:val="24"/>
          <w:szCs w:val="24"/>
          <w:u w:val="none" w:color="000000"/>
          <w:rtl w:val="0"/>
          <w:lang w:val="en-US"/>
        </w:rPr>
        <w:t xml:space="preserve"> </w:t>
      </w:r>
      <w:r>
        <w:rPr>
          <w:rFonts w:ascii="Times New Roman" w:cs="Times New Roman" w:hAnsi="Times New Roman" w:eastAsia="Times New Roman"/>
          <w:outline w:val="0"/>
          <w:color w:val="000000"/>
          <w:spacing w:val="0"/>
          <w:kern w:val="1"/>
          <w:sz w:val="24"/>
          <w:szCs w:val="24"/>
          <w:u w:val="none" w:color="000000"/>
        </w:rPr>
        <w:tab/>
      </w:r>
      <w:r>
        <w:rPr>
          <w:rFonts w:ascii="Times New Roman" w:hAnsi="Times New Roman"/>
          <w:outline w:val="0"/>
          <w:color w:val="000000"/>
          <w:spacing w:val="0"/>
          <w:kern w:val="1"/>
          <w:sz w:val="24"/>
          <w:szCs w:val="24"/>
          <w:u w:val="none" w:color="000000"/>
          <w:rtl w:val="0"/>
          <w:lang w:val="en-US"/>
        </w:rPr>
        <w:t>Individuals affected by Zellweger syndrome show first signs of condition early in life. Symptoms that manifest early include poor appetite, seizures, hepatic dysfunction and cyst in the liver (Delille, Hannah K., et al.). Individuals with less severe phenotypes of Zellweger syndrome spectrum are often suffering from retinal dystrophy and developmental delay accompanied by hypotonia and loss of hearing. Treatment of Zellweger syndrome disorder is symptom-based.     Mitochondrial disorders result from dysfunctions or abnormalities that occur in a mitochondrial respiratory chain. These disorders can be caused by mutations that occur either within nuclear or mitochondrial DNA (mDNA) (Chinnery, P. F.). Leigh syndrome is a mitochondrial disorder characterized by severe neurological conditions. Progressive loss of both mental and movement abilities are typical for this syndrome and in most cases result in death after two or three years after the onset (Chinnery, P. F.). Respiratory failure is a prevalent cause of death. In rare cases, individuals may not develop serious symptoms until adulthood or have a slowly progressing disease.</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Times New Roman" w:cs="Times New Roman" w:hAnsi="Times New Roman" w:eastAsia="Times New Roman"/>
          <w:outline w:val="0"/>
          <w:color w:val="000000"/>
          <w:spacing w:val="0"/>
          <w:kern w:val="1"/>
          <w:sz w:val="24"/>
          <w:szCs w:val="24"/>
          <w:u w:val="none" w:color="000000"/>
        </w:rPr>
      </w:pPr>
      <w:r>
        <w:rPr>
          <w:rFonts w:ascii="Times New Roman" w:cs="Times New Roman" w:hAnsi="Times New Roman" w:eastAsia="Times New Roman"/>
          <w:outline w:val="0"/>
          <w:color w:val="000000"/>
          <w:spacing w:val="0"/>
          <w:kern w:val="1"/>
          <w:sz w:val="24"/>
          <w:szCs w:val="24"/>
          <w:u w:val="none" w:color="000000"/>
        </w:rPr>
        <w:tab/>
      </w:r>
      <w:r>
        <w:rPr>
          <w:rFonts w:ascii="Times New Roman" w:hAnsi="Times New Roman"/>
          <w:outline w:val="0"/>
          <w:color w:val="000000"/>
          <w:spacing w:val="0"/>
          <w:kern w:val="1"/>
          <w:sz w:val="24"/>
          <w:szCs w:val="24"/>
          <w:u w:val="none" w:color="000000"/>
          <w:rtl w:val="0"/>
          <w:lang w:val="en-US"/>
        </w:rPr>
        <w:t>Leigh syndrome occurs in 1 in 40,000 individuals with condition reported to be more common in some populations. In Quebec region of Canada frequency of Leigh syndrome is estimated to be 1 in 2,000 people. The population of the Faroe Islands is also reported to have a higher frequency of Leigh syndrome in comparison to the general population and is approximately 1 in 1,700 individuals.</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Times New Roman" w:cs="Times New Roman" w:hAnsi="Times New Roman" w:eastAsia="Times New Roman"/>
          <w:outline w:val="0"/>
          <w:color w:val="000000"/>
          <w:spacing w:val="0"/>
          <w:kern w:val="1"/>
          <w:sz w:val="24"/>
          <w:szCs w:val="24"/>
          <w:u w:val="none" w:color="000000"/>
        </w:rPr>
      </w:pPr>
      <w:r>
        <w:rPr>
          <w:rFonts w:ascii="Times New Roman" w:cs="Times New Roman" w:hAnsi="Times New Roman" w:eastAsia="Times New Roman"/>
          <w:outline w:val="0"/>
          <w:color w:val="000000"/>
          <w:spacing w:val="0"/>
          <w:kern w:val="1"/>
          <w:sz w:val="24"/>
          <w:szCs w:val="24"/>
          <w:u w:val="none" w:color="000000"/>
        </w:rPr>
        <w:tab/>
      </w:r>
      <w:r>
        <w:rPr>
          <w:rFonts w:ascii="Times New Roman" w:hAnsi="Times New Roman"/>
          <w:outline w:val="0"/>
          <w:color w:val="000000"/>
          <w:spacing w:val="0"/>
          <w:kern w:val="1"/>
          <w:sz w:val="24"/>
          <w:szCs w:val="24"/>
          <w:u w:val="none" w:color="000000"/>
          <w:rtl w:val="0"/>
          <w:lang w:val="en-US"/>
        </w:rPr>
        <w:t xml:space="preserve">Genetic mutations that can result in Leigh syndrome occurs in nuclear DNA and mDNA alike. Mutations in genes of mitochondrial DNA affect the process of oxidative phosphorylation needed for cellular energy production. Mutations associated with Leigh syndrome disrupt production of proteins that make up the protein complexes that carry out the oxidative phosphorylation process. Mutation of the MT-ATP6 gene found in mitochondrial DNA is the most common cause of Leigh syndrome associated with a mutation in mDNA. </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rPr>
          <w:rFonts w:ascii="Times New Roman" w:cs="Times New Roman" w:hAnsi="Times New Roman" w:eastAsia="Times New Roman"/>
        </w:rPr>
      </w:pPr>
    </w:p>
    <w:p>
      <w:pPr>
        <w:pStyle w:val="Normal.0"/>
        <w:spacing w:after="0" w:line="480" w:lineRule="auto"/>
        <w:jc w:val="both"/>
      </w:pPr>
      <w:r>
        <w:rPr>
          <w:rFonts w:ascii="Times New Roman" w:hAnsi="Times New Roman"/>
          <w:sz w:val="24"/>
          <w:szCs w:val="24"/>
          <w:rtl w:val="0"/>
          <w:lang w:val="en-US"/>
        </w:rPr>
        <w:t>Works cited:</w:t>
      </w:r>
    </w:p>
    <w:p>
      <w:pPr>
        <w:pStyle w:val="Normal.0"/>
        <w:spacing w:after="0" w:line="480" w:lineRule="auto"/>
        <w:ind w:firstLine="720"/>
        <w:jc w:val="both"/>
        <w:rPr>
          <w:rFonts w:ascii="Times New Roman" w:cs="Times New Roman" w:hAnsi="Times New Roman" w:eastAsia="Times New Roman"/>
          <w:sz w:val="24"/>
          <w:szCs w:val="24"/>
        </w:rPr>
      </w:pP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Chinnery, P. F. "Mitochondrial Disorders Overview". </w:t>
      </w:r>
      <w:r>
        <w:rPr>
          <w:rFonts w:ascii="Times New Roman" w:hAnsi="Times New Roman"/>
          <w:i w:val="1"/>
          <w:iCs w:val="1"/>
          <w:outline w:val="0"/>
          <w:color w:val="000000"/>
          <w:spacing w:val="0"/>
          <w:kern w:val="1"/>
          <w:sz w:val="24"/>
          <w:szCs w:val="24"/>
          <w:u w:color="000000"/>
          <w:rtl w:val="0"/>
          <w:lang w:val="en-US"/>
        </w:rPr>
        <w:t>Ncbi.Nlm.Nih.Gov</w:t>
      </w:r>
      <w:r>
        <w:rPr>
          <w:rFonts w:ascii="Times New Roman" w:hAnsi="Times New Roman"/>
          <w:outline w:val="0"/>
          <w:color w:val="000000"/>
          <w:spacing w:val="0"/>
          <w:kern w:val="1"/>
          <w:sz w:val="24"/>
          <w:szCs w:val="24"/>
          <w:u w:color="000000"/>
          <w:rtl w:val="0"/>
          <w:lang w:val="en-US"/>
        </w:rPr>
        <w:t xml:space="preserve">, 2014, </w:t>
        <w:tab/>
        <w:t>https://</w:t>
      </w:r>
      <w:r>
        <w:rPr>
          <w:rFonts w:ascii="Times New Roman" w:cs="Times New Roman" w:hAnsi="Times New Roman" w:eastAsia="Times New Roman"/>
          <w:outline w:val="0"/>
          <w:color w:val="000000"/>
          <w:spacing w:val="0"/>
          <w:kern w:val="1"/>
          <w:sz w:val="24"/>
          <w:szCs w:val="24"/>
          <w:u w:color="000000"/>
        </w:rPr>
        <w:tab/>
        <w:tab/>
        <w:tab/>
        <w:tab/>
      </w:r>
      <w:r>
        <w:rPr>
          <w:rFonts w:ascii="Times New Roman" w:hAnsi="Times New Roman"/>
          <w:outline w:val="0"/>
          <w:color w:val="000000"/>
          <w:spacing w:val="0"/>
          <w:kern w:val="1"/>
          <w:sz w:val="24"/>
          <w:szCs w:val="24"/>
          <w:u w:color="000000"/>
          <w:rtl w:val="0"/>
          <w:lang w:val="en-US"/>
        </w:rPr>
        <w:t>www.ncbi.nlm.nih.gov/books/NBK1224/.</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Delille, Hannah K. et al. "Peroxisomes And Disease - An Overview". </w:t>
      </w:r>
      <w:r>
        <w:rPr>
          <w:rFonts w:ascii="Times New Roman" w:hAnsi="Times New Roman"/>
          <w:i w:val="1"/>
          <w:iCs w:val="1"/>
          <w:outline w:val="0"/>
          <w:color w:val="000000"/>
          <w:spacing w:val="0"/>
          <w:kern w:val="1"/>
          <w:sz w:val="24"/>
          <w:szCs w:val="24"/>
          <w:u w:color="000000"/>
          <w:rtl w:val="0"/>
          <w:lang w:val="en-US"/>
        </w:rPr>
        <w:t xml:space="preserve">International Journal Of </w:t>
        <w:tab/>
      </w:r>
      <w:r>
        <w:rPr>
          <w:rFonts w:ascii="Times New Roman" w:cs="Times New Roman" w:hAnsi="Times New Roman" w:eastAsia="Times New Roman"/>
          <w:i w:val="1"/>
          <w:iCs w:val="1"/>
          <w:outline w:val="0"/>
          <w:color w:val="000000"/>
          <w:spacing w:val="0"/>
          <w:kern w:val="1"/>
          <w:sz w:val="24"/>
          <w:szCs w:val="24"/>
          <w:u w:color="000000"/>
        </w:rPr>
        <w:tab/>
        <w:tab/>
      </w:r>
      <w:r>
        <w:rPr>
          <w:rFonts w:ascii="Times New Roman" w:hAnsi="Times New Roman"/>
          <w:i w:val="1"/>
          <w:iCs w:val="1"/>
          <w:outline w:val="0"/>
          <w:color w:val="000000"/>
          <w:spacing w:val="0"/>
          <w:kern w:val="1"/>
          <w:sz w:val="24"/>
          <w:szCs w:val="24"/>
          <w:u w:color="000000"/>
          <w:rtl w:val="0"/>
          <w:lang w:val="en-US"/>
        </w:rPr>
        <w:t>Biomedical Science</w:t>
      </w:r>
      <w:r>
        <w:rPr>
          <w:rFonts w:ascii="Times New Roman" w:hAnsi="Times New Roman"/>
          <w:outline w:val="0"/>
          <w:color w:val="000000"/>
          <w:spacing w:val="0"/>
          <w:kern w:val="1"/>
          <w:sz w:val="24"/>
          <w:szCs w:val="24"/>
          <w:u w:color="000000"/>
          <w:rtl w:val="0"/>
          <w:lang w:val="en-US"/>
        </w:rPr>
        <w:t>, vol 2, no. 4, 2006, pp. 308-314.</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Steinberg, Steven et al. "The PEX Gene Screen: Molecular Diagnosis Of Peroxisome Biogenesis </w:t>
        <w:tab/>
      </w:r>
      <w:r>
        <w:rPr>
          <w:rFonts w:ascii="Times New Roman" w:cs="Times New Roman" w:hAnsi="Times New Roman" w:eastAsia="Times New Roman"/>
          <w:outline w:val="0"/>
          <w:color w:val="000000"/>
          <w:spacing w:val="0"/>
          <w:kern w:val="1"/>
          <w:sz w:val="24"/>
          <w:szCs w:val="24"/>
          <w:u w:color="000000"/>
        </w:rPr>
        <w:tab/>
      </w:r>
      <w:r>
        <w:rPr>
          <w:rFonts w:ascii="Times New Roman" w:hAnsi="Times New Roman"/>
          <w:outline w:val="0"/>
          <w:color w:val="000000"/>
          <w:spacing w:val="0"/>
          <w:kern w:val="1"/>
          <w:sz w:val="24"/>
          <w:szCs w:val="24"/>
          <w:u w:color="000000"/>
          <w:rtl w:val="0"/>
          <w:lang w:val="en-US"/>
        </w:rPr>
        <w:t xml:space="preserve">Disorders In The Zellweger Syndrome Spectrum". </w:t>
      </w:r>
      <w:r>
        <w:rPr>
          <w:rFonts w:ascii="Times New Roman" w:hAnsi="Times New Roman"/>
          <w:i w:val="1"/>
          <w:iCs w:val="1"/>
          <w:outline w:val="0"/>
          <w:color w:val="000000"/>
          <w:spacing w:val="0"/>
          <w:kern w:val="1"/>
          <w:sz w:val="24"/>
          <w:szCs w:val="24"/>
          <w:u w:color="000000"/>
          <w:rtl w:val="0"/>
          <w:lang w:val="en-US"/>
        </w:rPr>
        <w:t>Molecular Genetics And Metabolism</w:t>
      </w:r>
      <w:r>
        <w:rPr>
          <w:rFonts w:ascii="Times New Roman" w:hAnsi="Times New Roman"/>
          <w:outline w:val="0"/>
          <w:color w:val="000000"/>
          <w:spacing w:val="0"/>
          <w:kern w:val="1"/>
          <w:sz w:val="24"/>
          <w:szCs w:val="24"/>
          <w:u w:color="000000"/>
          <w:rtl w:val="0"/>
          <w:lang w:val="en-US"/>
        </w:rPr>
        <w:t xml:space="preserve">, </w:t>
        <w:tab/>
      </w:r>
      <w:r>
        <w:rPr>
          <w:rFonts w:ascii="Times New Roman" w:cs="Times New Roman" w:hAnsi="Times New Roman" w:eastAsia="Times New Roman"/>
          <w:outline w:val="0"/>
          <w:color w:val="000000"/>
          <w:spacing w:val="0"/>
          <w:kern w:val="1"/>
          <w:sz w:val="24"/>
          <w:szCs w:val="24"/>
          <w:u w:color="000000"/>
        </w:rPr>
        <w:tab/>
        <w:tab/>
      </w:r>
      <w:r>
        <w:rPr>
          <w:rFonts w:ascii="Times New Roman" w:hAnsi="Times New Roman"/>
          <w:outline w:val="0"/>
          <w:color w:val="000000"/>
          <w:spacing w:val="0"/>
          <w:kern w:val="1"/>
          <w:sz w:val="24"/>
          <w:szCs w:val="24"/>
          <w:u w:color="000000"/>
          <w:rtl w:val="0"/>
          <w:lang w:val="en-US"/>
        </w:rPr>
        <w:t xml:space="preserve">vol 83, no. 3, 2004, pp. 252-263. </w:t>
      </w:r>
      <w:r>
        <w:rPr>
          <w:rFonts w:ascii="Times New Roman" w:hAnsi="Times New Roman"/>
          <w:i w:val="1"/>
          <w:iCs w:val="1"/>
          <w:outline w:val="0"/>
          <w:color w:val="000000"/>
          <w:spacing w:val="0"/>
          <w:kern w:val="1"/>
          <w:sz w:val="24"/>
          <w:szCs w:val="24"/>
          <w:u w:color="000000"/>
          <w:rtl w:val="0"/>
          <w:lang w:val="en-US"/>
        </w:rPr>
        <w:t>Elsevier BV</w:t>
      </w:r>
      <w:r>
        <w:rPr>
          <w:rFonts w:ascii="Times New Roman" w:hAnsi="Times New Roman"/>
          <w:outline w:val="0"/>
          <w:color w:val="000000"/>
          <w:spacing w:val="0"/>
          <w:kern w:val="1"/>
          <w:sz w:val="24"/>
          <w:szCs w:val="24"/>
          <w:u w:color="000000"/>
          <w:rtl w:val="0"/>
          <w:lang w:val="en-US"/>
        </w:rPr>
        <w:t>, doi:10.1016/j.ymgme.2004.08.008.</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Suzuki, Kunihiko and Marie T. Vanier. "Lysosomal Disease". </w:t>
      </w:r>
      <w:r>
        <w:rPr>
          <w:rFonts w:ascii="Times New Roman" w:hAnsi="Times New Roman"/>
          <w:i w:val="1"/>
          <w:iCs w:val="1"/>
          <w:outline w:val="0"/>
          <w:color w:val="000000"/>
          <w:spacing w:val="0"/>
          <w:kern w:val="1"/>
          <w:sz w:val="24"/>
          <w:szCs w:val="24"/>
          <w:u w:color="000000"/>
          <w:rtl w:val="0"/>
          <w:lang w:val="en-US"/>
        </w:rPr>
        <w:t>Ncbi.Nlm.Nih.Gov</w:t>
      </w:r>
      <w:r>
        <w:rPr>
          <w:rFonts w:ascii="Times New Roman" w:hAnsi="Times New Roman"/>
          <w:outline w:val="0"/>
          <w:color w:val="000000"/>
          <w:spacing w:val="0"/>
          <w:kern w:val="1"/>
          <w:sz w:val="24"/>
          <w:szCs w:val="24"/>
          <w:u w:color="000000"/>
          <w:rtl w:val="0"/>
          <w:lang w:val="en-US"/>
        </w:rPr>
        <w:t xml:space="preserve">, 1999, </w:t>
        <w:tab/>
        <w:t>https://</w:t>
      </w:r>
      <w:r>
        <w:rPr>
          <w:rFonts w:ascii="Times New Roman" w:cs="Times New Roman" w:hAnsi="Times New Roman" w:eastAsia="Times New Roman"/>
          <w:outline w:val="0"/>
          <w:color w:val="000000"/>
          <w:spacing w:val="0"/>
          <w:kern w:val="1"/>
          <w:sz w:val="24"/>
          <w:szCs w:val="24"/>
          <w:u w:color="000000"/>
        </w:rPr>
        <w:tab/>
        <w:tab/>
        <w:tab/>
      </w:r>
      <w:r>
        <w:rPr>
          <w:rFonts w:ascii="Times New Roman" w:hAnsi="Times New Roman"/>
          <w:outline w:val="0"/>
          <w:color w:val="000000"/>
          <w:spacing w:val="0"/>
          <w:kern w:val="1"/>
          <w:sz w:val="24"/>
          <w:szCs w:val="24"/>
          <w:u w:color="000000"/>
          <w:rtl w:val="0"/>
          <w:lang w:val="en-US"/>
        </w:rPr>
        <w:t>www.ncbi.nlm.nih.gov/books/NBK28215/.</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"Zellweger Spectrum Disorder". </w:t>
      </w:r>
      <w:r>
        <w:rPr>
          <w:rFonts w:ascii="Times New Roman" w:hAnsi="Times New Roman"/>
          <w:i w:val="1"/>
          <w:iCs w:val="1"/>
          <w:outline w:val="0"/>
          <w:color w:val="000000"/>
          <w:spacing w:val="0"/>
          <w:kern w:val="1"/>
          <w:sz w:val="24"/>
          <w:szCs w:val="24"/>
          <w:u w:color="000000"/>
          <w:rtl w:val="0"/>
          <w:lang w:val="en-US"/>
        </w:rPr>
        <w:t>Genetics Home Reference</w:t>
      </w:r>
      <w:r>
        <w:rPr>
          <w:rFonts w:ascii="Times New Roman" w:hAnsi="Times New Roman"/>
          <w:outline w:val="0"/>
          <w:color w:val="000000"/>
          <w:spacing w:val="0"/>
          <w:kern w:val="1"/>
          <w:sz w:val="24"/>
          <w:szCs w:val="24"/>
          <w:u w:color="000000"/>
          <w:rtl w:val="0"/>
          <w:lang w:val="en-US"/>
        </w:rPr>
        <w:t xml:space="preserve">, 2016, </w:t>
        <w:tab/>
      </w:r>
      <w:r>
        <w:rPr>
          <w:rStyle w:val="Hyperlink.0"/>
        </w:rPr>
        <w:fldChar w:fldCharType="begin" w:fldLock="0"/>
      </w:r>
      <w:r>
        <w:rPr>
          <w:rStyle w:val="Hyperlink.0"/>
        </w:rPr>
        <w:instrText xml:space="preserve"> HYPERLINK "https://ghr.nlm.nih.gov/"</w:instrText>
      </w:r>
      <w:r>
        <w:rPr>
          <w:rStyle w:val="Hyperlink.0"/>
        </w:rPr>
        <w:fldChar w:fldCharType="separate" w:fldLock="0"/>
      </w:r>
      <w:r>
        <w:rPr>
          <w:rStyle w:val="Hyperlink.0"/>
          <w:rtl w:val="0"/>
          <w:lang w:val="en-US"/>
        </w:rPr>
        <w:t>https://ghr.nlm.nih.gov/</w:t>
      </w:r>
      <w:r>
        <w:rPr/>
        <w:fldChar w:fldCharType="end" w:fldLock="0"/>
      </w:r>
      <w:r>
        <w:rPr>
          <w:rFonts w:ascii="Times New Roman" w:cs="Times New Roman" w:hAnsi="Times New Roman" w:eastAsia="Times New Roman"/>
          <w:outline w:val="0"/>
          <w:color w:val="000000"/>
          <w:spacing w:val="0"/>
          <w:kern w:val="1"/>
          <w:sz w:val="24"/>
          <w:szCs w:val="24"/>
          <w:u w:color="000000"/>
        </w:rPr>
        <w:tab/>
        <w:tab/>
        <w:tab/>
      </w:r>
      <w:r>
        <w:rPr>
          <w:rFonts w:ascii="Times New Roman" w:hAnsi="Times New Roman"/>
          <w:outline w:val="0"/>
          <w:color w:val="000000"/>
          <w:spacing w:val="0"/>
          <w:kern w:val="1"/>
          <w:sz w:val="24"/>
          <w:szCs w:val="24"/>
          <w:u w:color="000000"/>
          <w:rtl w:val="0"/>
          <w:lang w:val="en-US"/>
        </w:rPr>
        <w:t>condition/zellweger-spectrum-disorder#inheritance.</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tl w:val="0"/>
        <w:lang w:val="en-US"/>
      </w:rPr>
      <w:t xml:space="preserve">Last name: </w:t>
    </w:r>
    <w:r>
      <w:rPr/>
      <w:fldChar w:fldCharType="begin" w:fldLock="0"/>
    </w:r>
    <w:r>
      <w:instrText xml:space="preserve"> PAGE </w:instrText>
    </w:r>
    <w:r>
      <w:rPr/>
      <w:fldChar w:fldCharType="separate" w:fldLock="0"/>
    </w:r>
    <w:r>
      <w:t>5</w:t>
    </w:r>
    <w:r>
      <w:rPr/>
      <w:fldChar w:fldCharType="end" w:fldLock="0"/>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